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b w:val="0"/>
          <w:bCs w:val="0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none"/>
          <w:u w:val="single"/>
        </w:rPr>
      </w:r>
      <w:r>
        <w:rPr>
          <w:b/>
          <w:bCs/>
          <w:sz w:val="28"/>
          <w:szCs w:val="28"/>
          <w:u w:val="single"/>
        </w:rPr>
        <w:t xml:space="preserve">ECVIM-CA job advert transparency and comparability checklist </w:t>
        <w:br/>
      </w:r>
      <w:r>
        <w:rPr>
          <w:b w:val="0"/>
          <w:bCs w:val="0"/>
          <w:u w:val="single"/>
        </w:rPr>
        <w:t xml:space="preserve">(compulsory for all job advertisements published on the ECVIM-CA website)</w:t>
      </w:r>
      <w:r>
        <w:rPr>
          <w:b w:val="0"/>
          <w:bCs w:val="0"/>
          <w:u w:val="single"/>
        </w:rPr>
      </w:r>
      <w:r>
        <w:rPr>
          <w:b/>
          <w:bCs/>
          <w:u w:val="singl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center"/>
        <w:rPr>
          <w:b/>
          <w:bCs/>
          <w:u w:val="single"/>
        </w:rPr>
      </w:pPr>
      <w:r>
        <w:rPr>
          <w:b w:val="0"/>
          <w:bCs w:val="0"/>
          <w:highlight w:val="none"/>
          <w:u w:val="single"/>
        </w:rPr>
      </w:r>
      <w:r>
        <w:rPr>
          <w:b w:val="0"/>
          <w:bCs w:val="0"/>
          <w:highlight w:val="none"/>
          <w:u w:val="single"/>
        </w:rPr>
      </w:r>
    </w:p>
    <w:tbl>
      <w:tblPr>
        <w:tblStyle w:val="11"/>
        <w:tblW w:w="0" w:type="auto"/>
        <w:tblBorders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/>
            <w:tcW w:w="935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1. Does this position come with a financial penalty when the successful applicant/resident leaves the position prematurely?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yes/no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  <w:t xml:space="preserve">(ECVIM position on penalties and non-competes: </w:t>
            </w:r>
            <w:hyperlink r:id="rId8" w:tooltip="https://bvajournals.onlinelibrary.wiley.com/doi/10.1002/vetr.4366" w:history="1">
              <w:r>
                <w:rPr>
                  <w:rStyle w:val="186"/>
                  <w:rFonts w:ascii="Arial" w:hAnsi="Arial" w:eastAsia="Arial" w:cs="Arial"/>
                  <w:i/>
                  <w:iCs/>
                  <w:color w:val="0000ee"/>
                  <w:sz w:val="22"/>
                  <w:szCs w:val="22"/>
                  <w:u w:val="single"/>
                </w:rPr>
                <w:t xml:space="preserve">https://bvajournals.onlinelibrary.wiley.com/doi/10.1002/vetr.4366</w:t>
              </w:r>
            </w:hyperlink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35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2. Does this position come with a “non-compete”, defined as any contractual obligations to NOT work in a certain position and/or a certain geography after leaving the position for a limited or unlimited time period? 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yes/no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  <w:bCs/>
                <w:i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  <w:t xml:space="preserve">(ECVIM position on penalties and non-competes: </w:t>
            </w:r>
            <w:hyperlink r:id="rId9" w:tooltip="https://bvajournals.onlinelibrary.wiley.com/doi/10.1002/vetr.4366" w:history="1">
              <w:r>
                <w:rPr>
                  <w:rStyle w:val="186"/>
                  <w:rFonts w:ascii="Arial" w:hAnsi="Arial" w:eastAsia="Arial" w:cs="Arial"/>
                  <w:i/>
                  <w:iCs/>
                  <w:color w:val="0000ee"/>
                  <w:sz w:val="22"/>
                  <w:szCs w:val="22"/>
                  <w:u w:val="single"/>
                </w:rPr>
                <w:t xml:space="preserve">https://bvajournals.onlinelibrary.wiley.com/doi/10.1002/vetr.4366</w:t>
              </w:r>
            </w:hyperlink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</w:r>
            <w:r>
              <w:rPr>
                <w:rFonts w:ascii="Arial" w:hAnsi="Arial" w:eastAsia="Arial" w:cs="Arial"/>
                <w:i/>
                <w:iCs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i/>
                <w:iCs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35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3. Is out of hours work required with this position? 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yes/no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4. When out of hours work is required, is a compensatory period of rest given subsequent to the extra work? 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yes/no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5. 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If this concerns a residency position: 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What is the nett (after tax and compulsory deductions) salary or stipend offered in Euros per month?  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Euro xxxx / month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935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6. If this concerns a residency position: will the employer pay for the examination fees associated with this training position?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yes, fully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yes, but only partially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no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bvajournals.onlinelibrary.wiley.com/doi/10.1002/vetr.4366" TargetMode="External"/><Relationship Id="rId9" Type="http://schemas.openxmlformats.org/officeDocument/2006/relationships/hyperlink" Target="https://bvajournals.onlinelibrary.wiley.com/doi/10.1002/vetr.436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2025-04-07T10:28:42Z</dcterms:modified>
</cp:coreProperties>
</file>